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5EA5" w:rsidRDefault="00204C61">
      <w:r w:rsidRPr="00204C61">
        <w:rPr>
          <w:rFonts w:cs="Arial"/>
          <w:noProof/>
        </w:rPr>
        <w:pict>
          <v:roundrect id="_x0000_s1041" style="position:absolute;margin-left:185.25pt;margin-top:433.5pt;width:205.5pt;height:166.15pt;z-index:251664384;mso-position-horizontal-relative:page;mso-position-vertical-relative:page" arcsize="10923f" strokecolor="#95b3d7" strokeweight="3.5pt">
            <v:textbox style="mso-next-textbox:#_x0000_s1041" inset="3.6pt,,3.6pt">
              <w:txbxContent>
                <w:p w:rsidR="00A84F02" w:rsidRPr="00455049" w:rsidRDefault="00A84F02" w:rsidP="00F21892">
                  <w:pPr>
                    <w:jc w:val="both"/>
                    <w:rPr>
                      <w:rFonts w:asciiTheme="minorHAnsi" w:hAnsiTheme="minorHAnsi" w:cs="Tahoma"/>
                    </w:rPr>
                  </w:pPr>
                  <w:r w:rsidRPr="004771C7">
                    <w:rPr>
                      <w:rFonts w:asciiTheme="minorHAnsi" w:hAnsiTheme="minorHAnsi" w:cs="Tahoma"/>
                      <w:b/>
                      <w:bCs/>
                      <w:i/>
                      <w:color w:val="403152" w:themeColor="accent4" w:themeShade="80"/>
                    </w:rPr>
                    <w:t>How likely are you to recommend that a colleague listen to the recorded version of the webinar?</w:t>
                  </w:r>
                  <w:r w:rsidRPr="00455049">
                    <w:rPr>
                      <w:rFonts w:asciiTheme="minorHAnsi" w:hAnsiTheme="minorHAnsi" w:cs="Tahoma"/>
                      <w:bCs/>
                    </w:rPr>
                    <w:t xml:space="preserve">  </w:t>
                  </w:r>
                  <w:r w:rsidR="008D07D2" w:rsidRPr="00455049">
                    <w:rPr>
                      <w:rFonts w:asciiTheme="minorHAnsi" w:hAnsiTheme="minorHAnsi" w:cs="Tahoma"/>
                      <w:bCs/>
                    </w:rPr>
                    <w:t>Over half (</w:t>
                  </w:r>
                  <w:r w:rsidR="003853BD" w:rsidRPr="00455049">
                    <w:rPr>
                      <w:rFonts w:asciiTheme="minorHAnsi" w:hAnsiTheme="minorHAnsi" w:cs="Tahoma"/>
                      <w:bCs/>
                    </w:rPr>
                    <w:t xml:space="preserve">64% of the Prematurity and </w:t>
                  </w:r>
                  <w:r w:rsidRPr="00455049">
                    <w:rPr>
                      <w:rFonts w:asciiTheme="minorHAnsi" w:hAnsiTheme="minorHAnsi" w:cs="Tahoma"/>
                      <w:bCs/>
                    </w:rPr>
                    <w:t>53% of the EIPD and attendees</w:t>
                  </w:r>
                  <w:r w:rsidR="003853BD" w:rsidRPr="00455049">
                    <w:rPr>
                      <w:rFonts w:asciiTheme="minorHAnsi" w:hAnsiTheme="minorHAnsi" w:cs="Tahoma"/>
                      <w:bCs/>
                    </w:rPr>
                    <w:t>) wrote that</w:t>
                  </w:r>
                  <w:r w:rsidRPr="00455049">
                    <w:rPr>
                      <w:rFonts w:asciiTheme="minorHAnsi" w:hAnsiTheme="minorHAnsi" w:cs="Tahoma"/>
                      <w:bCs/>
                    </w:rPr>
                    <w:t xml:space="preserve"> </w:t>
                  </w:r>
                  <w:r w:rsidR="003853BD" w:rsidRPr="00455049">
                    <w:rPr>
                      <w:rFonts w:asciiTheme="minorHAnsi" w:hAnsiTheme="minorHAnsi" w:cs="Tahoma"/>
                      <w:bCs/>
                    </w:rPr>
                    <w:t xml:space="preserve">they are </w:t>
                  </w:r>
                  <w:r w:rsidRPr="00455049">
                    <w:rPr>
                      <w:rFonts w:asciiTheme="minorHAnsi" w:hAnsiTheme="minorHAnsi" w:cs="Tahoma"/>
                      <w:bCs/>
                    </w:rPr>
                    <w:t xml:space="preserve">“very likely.”  </w:t>
                  </w:r>
                  <w:r w:rsidR="00F21892">
                    <w:rPr>
                      <w:rFonts w:asciiTheme="minorHAnsi" w:hAnsiTheme="minorHAnsi" w:cs="Tahoma"/>
                      <w:bCs/>
                    </w:rPr>
                    <w:t>Similarly</w:t>
                  </w:r>
                  <w:r w:rsidR="008D07D2" w:rsidRPr="00455049">
                    <w:rPr>
                      <w:rFonts w:asciiTheme="minorHAnsi" w:hAnsiTheme="minorHAnsi" w:cs="Tahoma"/>
                      <w:bCs/>
                    </w:rPr>
                    <w:t xml:space="preserve">, </w:t>
                  </w:r>
                  <w:r w:rsidRPr="00455049">
                    <w:rPr>
                      <w:rFonts w:asciiTheme="minorHAnsi" w:hAnsiTheme="minorHAnsi" w:cs="Tahoma"/>
                    </w:rPr>
                    <w:t>53% of the QMR and 57% of the Clinical Opinion attendees</w:t>
                  </w:r>
                  <w:r w:rsidR="008D07D2" w:rsidRPr="00455049">
                    <w:rPr>
                      <w:rFonts w:asciiTheme="minorHAnsi" w:hAnsiTheme="minorHAnsi" w:cs="Tahoma"/>
                    </w:rPr>
                    <w:t xml:space="preserve"> </w:t>
                  </w:r>
                  <w:r w:rsidRPr="00455049">
                    <w:rPr>
                      <w:rFonts w:asciiTheme="minorHAnsi" w:hAnsiTheme="minorHAnsi" w:cs="Tahoma"/>
                    </w:rPr>
                    <w:t xml:space="preserve">strongly agreed that </w:t>
                  </w:r>
                  <w:r w:rsidRPr="00455049">
                    <w:rPr>
                      <w:rFonts w:asciiTheme="minorHAnsi" w:hAnsiTheme="minorHAnsi" w:cs="Tahoma"/>
                      <w:i/>
                    </w:rPr>
                    <w:t>I would recommend that a colleague listen to the recorded version of the webinar</w:t>
                  </w:r>
                  <w:r w:rsidRPr="00455049">
                    <w:rPr>
                      <w:rFonts w:asciiTheme="minorHAnsi" w:hAnsiTheme="minorHAnsi" w:cs="Tahoma"/>
                    </w:rPr>
                    <w:t xml:space="preserve">.  </w:t>
                  </w:r>
                  <w:r w:rsidR="003853BD" w:rsidRPr="00455049">
                    <w:rPr>
                      <w:rFonts w:asciiTheme="minorHAnsi" w:hAnsiTheme="minorHAnsi" w:cs="Tahoma"/>
                    </w:rPr>
                    <w:t>Nearly all other</w:t>
                  </w:r>
                  <w:r w:rsidR="00E274EB">
                    <w:rPr>
                      <w:rFonts w:asciiTheme="minorHAnsi" w:hAnsiTheme="minorHAnsi" w:cs="Tahoma"/>
                    </w:rPr>
                    <w:t>s</w:t>
                  </w:r>
                  <w:r w:rsidR="003853BD" w:rsidRPr="00455049">
                    <w:rPr>
                      <w:rFonts w:asciiTheme="minorHAnsi" w:hAnsiTheme="minorHAnsi" w:cs="Tahoma"/>
                    </w:rPr>
                    <w:t xml:space="preserve"> agreed.</w:t>
                  </w:r>
                </w:p>
                <w:p w:rsidR="00A84F02" w:rsidRPr="00A84F02" w:rsidRDefault="00A84F02" w:rsidP="00F21892">
                  <w:pPr>
                    <w:jc w:val="both"/>
                    <w:rPr>
                      <w:rFonts w:ascii="Tahoma" w:hAnsi="Tahoma" w:cs="Tahoma"/>
                      <w:bCs/>
                    </w:rPr>
                  </w:pPr>
                </w:p>
                <w:p w:rsidR="00A84F02" w:rsidRPr="00A84F02" w:rsidRDefault="00A84F02" w:rsidP="00F21892">
                  <w:pPr>
                    <w:jc w:val="both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margin-left:210.5pt;margin-top:603.75pt;width:175pt;height:139.5pt;z-index:251661312;visibility:visible;mso-position-horizontal-relative:page;mso-position-vertical-relative:page" filled="f" stroked="f">
            <v:textbox style="mso-next-textbox:#_x0000_s1039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34" type="#_x0000_t202" style="position:absolute;margin-left:30.75pt;margin-top:599.65pt;width:199.5pt;height:22.25pt;z-index:251656192;mso-wrap-edited:f;mso-position-horizontal-relative:page;mso-position-vertical-relative:page" wrapcoords="0 0 21600 0 21600 21600 0 21600 0 0" filled="f" stroked="f">
            <v:textbox style="mso-next-textbox:#_x0000_s1034" inset="0,0,0,0">
              <w:txbxContent>
                <w:p w:rsidR="00A84F02" w:rsidRPr="00FD06BC" w:rsidRDefault="009235AB" w:rsidP="003048C7">
                  <w:pPr>
                    <w:pStyle w:val="Heading2"/>
                    <w:rPr>
                      <w:color w:val="17365D" w:themeColor="text2" w:themeShade="BF"/>
                      <w:sz w:val="28"/>
                    </w:rPr>
                  </w:pPr>
                  <w:r>
                    <w:rPr>
                      <w:color w:val="17365D" w:themeColor="text2" w:themeShade="BF"/>
                      <w:sz w:val="28"/>
                    </w:rPr>
                    <w:t>Issues and Improvements</w:t>
                  </w:r>
                </w:p>
                <w:p w:rsidR="00A84F02" w:rsidRDefault="00A84F02" w:rsidP="00CF1688">
                  <w:pPr>
                    <w:pStyle w:val="Heading1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roundrect id="_x0000_s1043" style="position:absolute;margin-left:22.55pt;margin-top:449.6pt;width:167.25pt;height:143.95pt;z-index:-251650048;mso-position-horizontal-relative:page;mso-position-vertical-relative:page" arcsize="10923f" filled="f" strokecolor="silver" strokeweight="3.75pt">
            <v:textbox style="mso-next-textbox:#_x0000_s1043" inset="3.6pt,,3.6pt">
              <w:txbxContent>
                <w:p w:rsidR="00A84F02" w:rsidRPr="00EE7FB7" w:rsidRDefault="00A84F02" w:rsidP="00EE7FB7"/>
              </w:txbxContent>
            </v:textbox>
            <w10:wrap anchorx="page" anchory="page"/>
          </v:roundrect>
        </w:pict>
      </w:r>
      <w:r>
        <w:rPr>
          <w:noProof/>
        </w:rPr>
        <w:pict>
          <v:shape id="_x0000_s1033" type="#_x0000_t202" style="position:absolute;margin-left:27.75pt;margin-top:237pt;width:357.75pt;height:210.85pt;z-index:251655168;mso-wrap-edited:f;mso-position-horizontal-relative:page;mso-position-vertical-relative:page" wrapcoords="0 0 21600 0 21600 21600 0 21600 0 0" filled="f" stroked="f">
            <v:textbox style="mso-next-textbox:#_x0000_s1033" inset="0,0,0,0">
              <w:txbxContent>
                <w:tbl>
                  <w:tblPr>
                    <w:tblW w:w="7213" w:type="dxa"/>
                    <w:tblBorders>
                      <w:top w:val="single" w:sz="12" w:space="0" w:color="000000"/>
                      <w:bottom w:val="single" w:sz="12" w:space="0" w:color="000000"/>
                    </w:tblBorders>
                    <w:tblLayout w:type="fixed"/>
                    <w:tblLook w:val="04A0"/>
                  </w:tblPr>
                  <w:tblGrid>
                    <w:gridCol w:w="1256"/>
                    <w:gridCol w:w="920"/>
                    <w:gridCol w:w="1021"/>
                    <w:gridCol w:w="1004"/>
                    <w:gridCol w:w="920"/>
                    <w:gridCol w:w="1088"/>
                    <w:gridCol w:w="1004"/>
                  </w:tblGrid>
                  <w:tr w:rsidR="00FD06BC" w:rsidRPr="00A77A16">
                    <w:trPr>
                      <w:trHeight w:val="627"/>
                    </w:trPr>
                    <w:tc>
                      <w:tcPr>
                        <w:tcW w:w="1256" w:type="dxa"/>
                        <w:tcBorders>
                          <w:bottom w:val="single" w:sz="6" w:space="0" w:color="000000"/>
                        </w:tcBorders>
                        <w:shd w:val="solid" w:color="800080" w:fill="FFFFFF"/>
                        <w:tcMar>
                          <w:left w:w="14" w:type="dxa"/>
                          <w:right w:w="14" w:type="dxa"/>
                        </w:tcMar>
                      </w:tcPr>
                      <w:p w:rsidR="00FD06BC" w:rsidRPr="001A1A48" w:rsidRDefault="00FD06BC" w:rsidP="005065C2">
                        <w:pPr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i/>
                            <w:color w:val="FFFFFF"/>
                            <w:spacing w:val="10"/>
                            <w:sz w:val="18"/>
                            <w:szCs w:val="18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bCs/>
                            <w:i/>
                            <w:color w:val="FFFFFF"/>
                            <w:spacing w:val="10"/>
                            <w:sz w:val="18"/>
                            <w:szCs w:val="18"/>
                          </w:rPr>
                          <w:t xml:space="preserve">% Rating Webinar </w:t>
                        </w:r>
                        <w:r w:rsidR="005065C2">
                          <w:rPr>
                            <w:rFonts w:ascii="Arial Narrow" w:hAnsi="Arial Narrow" w:cs="Arial"/>
                            <w:b/>
                            <w:bCs/>
                            <w:i/>
                            <w:color w:val="FFFFFF"/>
                            <w:spacing w:val="10"/>
                            <w:sz w:val="18"/>
                            <w:szCs w:val="18"/>
                          </w:rPr>
                          <w:t xml:space="preserve">“Good” or </w:t>
                        </w:r>
                        <w:r w:rsidRPr="001A1A48">
                          <w:rPr>
                            <w:rFonts w:ascii="Arial Narrow" w:hAnsi="Arial Narrow" w:cs="Arial"/>
                            <w:b/>
                            <w:bCs/>
                            <w:i/>
                            <w:color w:val="FFFFFF"/>
                            <w:spacing w:val="10"/>
                            <w:sz w:val="18"/>
                            <w:szCs w:val="18"/>
                          </w:rPr>
                          <w:t>“</w:t>
                        </w:r>
                        <w:r w:rsidRPr="008D07D2">
                          <w:rPr>
                            <w:rFonts w:ascii="Arial Narrow" w:hAnsi="Arial Narrow" w:cs="Arial"/>
                            <w:b/>
                            <w:bCs/>
                            <w:i/>
                            <w:color w:val="FFFFFF"/>
                            <w:spacing w:val="10"/>
                            <w:sz w:val="18"/>
                            <w:szCs w:val="18"/>
                          </w:rPr>
                          <w:t>Excellent</w:t>
                        </w:r>
                        <w:r w:rsidRPr="001A1A48">
                          <w:rPr>
                            <w:rFonts w:ascii="Arial Narrow" w:hAnsi="Arial Narrow" w:cs="Arial"/>
                            <w:b/>
                            <w:bCs/>
                            <w:i/>
                            <w:color w:val="FFFFFF"/>
                            <w:spacing w:val="1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920" w:type="dxa"/>
                        <w:tcBorders>
                          <w:bottom w:val="single" w:sz="6" w:space="0" w:color="000000"/>
                        </w:tcBorders>
                        <w:shd w:val="solid" w:color="80008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1A1A48" w:rsidRDefault="00FD06BC" w:rsidP="00085265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  <w:t>Overall Rating</w:t>
                        </w:r>
                      </w:p>
                    </w:tc>
                    <w:tc>
                      <w:tcPr>
                        <w:tcW w:w="1021" w:type="dxa"/>
                        <w:tcBorders>
                          <w:bottom w:val="single" w:sz="6" w:space="0" w:color="000000"/>
                        </w:tcBorders>
                        <w:shd w:val="solid" w:color="80008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1A1A48" w:rsidRDefault="00FD06BC" w:rsidP="00085265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  <w:t>Organization of Webinar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single" w:sz="6" w:space="0" w:color="000000"/>
                        </w:tcBorders>
                        <w:shd w:val="solid" w:color="80008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1A1A48" w:rsidRDefault="00FD06BC" w:rsidP="00085265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  <w:t>Usefulness of Content</w:t>
                        </w:r>
                      </w:p>
                    </w:tc>
                    <w:tc>
                      <w:tcPr>
                        <w:tcW w:w="920" w:type="dxa"/>
                        <w:tcBorders>
                          <w:bottom w:val="single" w:sz="6" w:space="0" w:color="000000"/>
                        </w:tcBorders>
                        <w:shd w:val="solid" w:color="80008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1A1A48" w:rsidRDefault="00FD06BC" w:rsidP="00085265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  <w:t>Resource Materials</w:t>
                        </w:r>
                      </w:p>
                    </w:tc>
                    <w:tc>
                      <w:tcPr>
                        <w:tcW w:w="1088" w:type="dxa"/>
                        <w:tcBorders>
                          <w:bottom w:val="single" w:sz="6" w:space="0" w:color="000000"/>
                        </w:tcBorders>
                        <w:shd w:val="solid" w:color="80008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1A1A48" w:rsidRDefault="00FD06BC" w:rsidP="00085265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  <w:t>Instructor's Knowledge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single" w:sz="6" w:space="0" w:color="000000"/>
                        </w:tcBorders>
                        <w:shd w:val="solid" w:color="80008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1A1A48" w:rsidRDefault="00FD06BC" w:rsidP="00085265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color w:val="FFFFFF"/>
                            <w:spacing w:val="10"/>
                            <w:sz w:val="16"/>
                            <w:szCs w:val="16"/>
                          </w:rPr>
                          <w:t>Presentation of Material</w:t>
                        </w:r>
                      </w:p>
                    </w:tc>
                  </w:tr>
                  <w:tr w:rsidR="00FD06BC" w:rsidRPr="00A77A16">
                    <w:trPr>
                      <w:trHeight w:val="313"/>
                    </w:trPr>
                    <w:tc>
                      <w:tcPr>
                        <w:tcW w:w="1256" w:type="dxa"/>
                        <w:shd w:val="solid" w:color="C0C0C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1A1A48" w:rsidRDefault="00FD06BC" w:rsidP="00085265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>Assistive Technology</w:t>
                        </w:r>
                      </w:p>
                    </w:tc>
                    <w:tc>
                      <w:tcPr>
                        <w:tcW w:w="920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5065C2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</w:t>
                        </w:r>
                        <w:r w:rsidR="00FD06BC" w:rsidRPr="00E274EB">
                          <w:rPr>
                            <w:rFonts w:cs="Arial"/>
                            <w:b/>
                            <w:spacing w:val="10"/>
                          </w:rPr>
                          <w:t>8%</w:t>
                        </w:r>
                      </w:p>
                    </w:tc>
                    <w:tc>
                      <w:tcPr>
                        <w:tcW w:w="1021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FD06B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</w:p>
                    </w:tc>
                    <w:tc>
                      <w:tcPr>
                        <w:tcW w:w="1004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FD06B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</w:p>
                    </w:tc>
                    <w:tc>
                      <w:tcPr>
                        <w:tcW w:w="920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FD06B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</w:p>
                    </w:tc>
                    <w:tc>
                      <w:tcPr>
                        <w:tcW w:w="1088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FD06B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</w:p>
                    </w:tc>
                    <w:tc>
                      <w:tcPr>
                        <w:tcW w:w="1004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FD06B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</w:p>
                    </w:tc>
                  </w:tr>
                  <w:tr w:rsidR="00FD06BC" w:rsidRPr="00A77A16">
                    <w:trPr>
                      <w:trHeight w:val="313"/>
                    </w:trPr>
                    <w:tc>
                      <w:tcPr>
                        <w:tcW w:w="1256" w:type="dxa"/>
                        <w:shd w:val="solid" w:color="C0C0C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1A1A48" w:rsidRDefault="00FD06BC" w:rsidP="00085265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>EIPD</w:t>
                        </w:r>
                      </w:p>
                    </w:tc>
                    <w:tc>
                      <w:tcPr>
                        <w:tcW w:w="920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5065C2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85</w:t>
                        </w:r>
                        <w:r w:rsidR="00FD06BC"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21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5065C2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</w:t>
                        </w:r>
                        <w:r w:rsidR="00FD06BC" w:rsidRPr="00E274EB">
                          <w:rPr>
                            <w:rFonts w:cs="Arial"/>
                            <w:b/>
                            <w:spacing w:val="10"/>
                          </w:rPr>
                          <w:t>1%</w:t>
                        </w:r>
                      </w:p>
                    </w:tc>
                    <w:tc>
                      <w:tcPr>
                        <w:tcW w:w="1004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5065C2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94</w:t>
                        </w:r>
                        <w:r w:rsidR="00FD06BC"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920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5065C2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88</w:t>
                        </w:r>
                        <w:r w:rsidR="00FD06BC"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88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5065C2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94</w:t>
                        </w:r>
                        <w:r w:rsidR="00FD06BC"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04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D06BC" w:rsidRPr="00E274EB" w:rsidRDefault="005065C2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82</w:t>
                        </w:r>
                        <w:r w:rsidR="00FD06BC"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</w:tr>
                  <w:tr w:rsidR="000F6CFC" w:rsidRPr="00A77A16">
                    <w:trPr>
                      <w:trHeight w:val="313"/>
                    </w:trPr>
                    <w:tc>
                      <w:tcPr>
                        <w:tcW w:w="1256" w:type="dxa"/>
                        <w:shd w:val="solid" w:color="C0C0C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1A1A48" w:rsidRDefault="000F6CFC" w:rsidP="006E21CF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>QMR</w:t>
                        </w:r>
                      </w:p>
                    </w:tc>
                    <w:tc>
                      <w:tcPr>
                        <w:tcW w:w="920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D76EA3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90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21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D76EA3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6%</w:t>
                        </w:r>
                      </w:p>
                    </w:tc>
                    <w:tc>
                      <w:tcPr>
                        <w:tcW w:w="1004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D76EA3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84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920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D76EA3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90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88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D76EA3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7%</w:t>
                        </w:r>
                      </w:p>
                    </w:tc>
                    <w:tc>
                      <w:tcPr>
                        <w:tcW w:w="1004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D76EA3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1%</w:t>
                        </w:r>
                      </w:p>
                    </w:tc>
                  </w:tr>
                  <w:tr w:rsidR="000F6CFC" w:rsidRPr="00A77A16">
                    <w:trPr>
                      <w:trHeight w:val="313"/>
                    </w:trPr>
                    <w:tc>
                      <w:tcPr>
                        <w:tcW w:w="1256" w:type="dxa"/>
                        <w:shd w:val="solid" w:color="C0C0C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1A1A48" w:rsidRDefault="000F6CFC" w:rsidP="006E21CF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>Prematurity</w:t>
                        </w:r>
                      </w:p>
                    </w:tc>
                    <w:tc>
                      <w:tcPr>
                        <w:tcW w:w="920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6E21CF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91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21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6E21CF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94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04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6E21CF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88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920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6E21CF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74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88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6E21CF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95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04" w:type="dxa"/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6E21CF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5%</w:t>
                        </w:r>
                      </w:p>
                    </w:tc>
                  </w:tr>
                  <w:tr w:rsidR="000F6CFC" w:rsidRPr="00A77A16">
                    <w:trPr>
                      <w:trHeight w:val="313"/>
                    </w:trPr>
                    <w:tc>
                      <w:tcPr>
                        <w:tcW w:w="1256" w:type="dxa"/>
                        <w:tcBorders>
                          <w:bottom w:val="nil"/>
                        </w:tcBorders>
                        <w:shd w:val="solid" w:color="C0C0C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1A1A48" w:rsidRDefault="000F6CFC" w:rsidP="00085265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>Clinical O</w:t>
                        </w:r>
                        <w:r w:rsidRPr="001A1A48"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>pinion</w:t>
                        </w:r>
                      </w:p>
                    </w:tc>
                    <w:tc>
                      <w:tcPr>
                        <w:tcW w:w="920" w:type="dxa"/>
                        <w:tcBorders>
                          <w:bottom w:val="nil"/>
                        </w:tcBorders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4%</w:t>
                        </w:r>
                      </w:p>
                    </w:tc>
                    <w:tc>
                      <w:tcPr>
                        <w:tcW w:w="1021" w:type="dxa"/>
                        <w:tcBorders>
                          <w:bottom w:val="nil"/>
                        </w:tcBorders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94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nil"/>
                        </w:tcBorders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80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920" w:type="dxa"/>
                        <w:tcBorders>
                          <w:bottom w:val="nil"/>
                        </w:tcBorders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81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88" w:type="dxa"/>
                        <w:tcBorders>
                          <w:bottom w:val="nil"/>
                        </w:tcBorders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96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nil"/>
                        </w:tcBorders>
                        <w:shd w:val="clear" w:color="auto" w:fill="auto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90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</w:tr>
                  <w:tr w:rsidR="000F6CFC" w:rsidRPr="00BB4B8D">
                    <w:trPr>
                      <w:trHeight w:val="313"/>
                    </w:trPr>
                    <w:tc>
                      <w:tcPr>
                        <w:tcW w:w="1256" w:type="dxa"/>
                        <w:tcBorders>
                          <w:top w:val="nil"/>
                          <w:bottom w:val="single" w:sz="12" w:space="0" w:color="000000"/>
                        </w:tcBorders>
                        <w:shd w:val="clear" w:color="auto" w:fill="E5DFEC" w:themeFill="accent4" w:themeFillTint="33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1A1A48" w:rsidRDefault="000F6CFC" w:rsidP="00085265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</w:pPr>
                        <w:r w:rsidRPr="001A1A48">
                          <w:rPr>
                            <w:rFonts w:ascii="Arial Narrow" w:hAnsi="Arial Narrow" w:cs="Arial"/>
                            <w:b/>
                            <w:bCs/>
                            <w:spacing w:val="1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bottom w:val="single" w:sz="12" w:space="0" w:color="000000"/>
                        </w:tcBorders>
                        <w:shd w:val="clear" w:color="auto" w:fill="E5DFEC" w:themeFill="accent4" w:themeFillTint="33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88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bottom w:val="single" w:sz="12" w:space="0" w:color="000000"/>
                        </w:tcBorders>
                        <w:shd w:val="clear" w:color="auto" w:fill="E5DFEC" w:themeFill="accent4" w:themeFillTint="33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94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bottom w:val="single" w:sz="12" w:space="0" w:color="000000"/>
                        </w:tcBorders>
                        <w:shd w:val="clear" w:color="auto" w:fill="E5DFEC" w:themeFill="accent4" w:themeFillTint="33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85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bottom w:val="single" w:sz="12" w:space="0" w:color="000000"/>
                        </w:tcBorders>
                        <w:shd w:val="clear" w:color="auto" w:fill="E5DFEC" w:themeFill="accent4" w:themeFillTint="33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81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bottom w:val="single" w:sz="12" w:space="0" w:color="000000"/>
                        </w:tcBorders>
                        <w:shd w:val="clear" w:color="auto" w:fill="E5DFEC" w:themeFill="accent4" w:themeFillTint="33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96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bottom w:val="single" w:sz="12" w:space="0" w:color="000000"/>
                        </w:tcBorders>
                        <w:shd w:val="clear" w:color="auto" w:fill="E5DFEC" w:themeFill="accent4" w:themeFillTint="33"/>
                        <w:noWrap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F6CFC" w:rsidRPr="00E274EB" w:rsidRDefault="000F6CFC" w:rsidP="00085265">
                        <w:pPr>
                          <w:jc w:val="center"/>
                          <w:rPr>
                            <w:rFonts w:cs="Arial"/>
                            <w:b/>
                            <w:spacing w:val="10"/>
                          </w:rPr>
                        </w:pPr>
                        <w:r>
                          <w:rPr>
                            <w:rFonts w:cs="Arial"/>
                            <w:b/>
                            <w:spacing w:val="10"/>
                          </w:rPr>
                          <w:t>88</w:t>
                        </w:r>
                        <w:r w:rsidRPr="00E274EB">
                          <w:rPr>
                            <w:rFonts w:cs="Arial"/>
                            <w:b/>
                            <w:spacing w:val="10"/>
                          </w:rPr>
                          <w:t>%</w:t>
                        </w:r>
                      </w:p>
                    </w:tc>
                  </w:tr>
                </w:tbl>
                <w:p w:rsidR="00FD06BC" w:rsidRPr="00FD06BC" w:rsidRDefault="00FD06BC" w:rsidP="00657FD3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38" type="#_x0000_t202" style="position:absolute;margin-left:30.75pt;margin-top:626.75pt;width:172.8pt;height:129.3pt;z-index:251660288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A84F02" w:rsidRDefault="00047FC5" w:rsidP="00657FD3">
                  <w:pPr>
                    <w:spacing w:after="0" w:line="240" w:lineRule="auto"/>
                    <w:rPr>
                      <w:rFonts w:asciiTheme="minorHAnsi" w:hAnsiTheme="minorHAnsi" w:cs="Tahoma"/>
                    </w:rPr>
                  </w:pPr>
                  <w:r w:rsidRPr="00F21892">
                    <w:rPr>
                      <w:rFonts w:asciiTheme="minorHAnsi" w:hAnsiTheme="minorHAnsi" w:cs="Tahoma"/>
                    </w:rPr>
                    <w:t xml:space="preserve">About one in five webinar participants had technical difficulties, with </w:t>
                  </w:r>
                  <w:r w:rsidR="00B25C5B" w:rsidRPr="00F21892">
                    <w:rPr>
                      <w:rFonts w:asciiTheme="minorHAnsi" w:hAnsiTheme="minorHAnsi" w:cs="Tahoma"/>
                    </w:rPr>
                    <w:t xml:space="preserve">logging in being </w:t>
                  </w:r>
                  <w:r w:rsidRPr="00F21892">
                    <w:rPr>
                      <w:rFonts w:asciiTheme="minorHAnsi" w:hAnsiTheme="minorHAnsi" w:cs="Tahoma"/>
                    </w:rPr>
                    <w:t>the most common problem</w:t>
                  </w:r>
                  <w:r w:rsidR="00A84F02" w:rsidRPr="00F21892">
                    <w:rPr>
                      <w:rFonts w:asciiTheme="minorHAnsi" w:hAnsiTheme="minorHAnsi" w:cs="Tahoma"/>
                    </w:rPr>
                    <w:t>.</w:t>
                  </w:r>
                  <w:r w:rsidR="00B25C5B" w:rsidRPr="00F21892">
                    <w:rPr>
                      <w:rFonts w:asciiTheme="minorHAnsi" w:hAnsiTheme="minorHAnsi" w:cs="Tahoma"/>
                    </w:rPr>
                    <w:t xml:space="preserve">  Issues include problems with disabling cookies, having to use a different browser, and not being able to access the webinar online.  </w:t>
                  </w:r>
                  <w:r w:rsidR="00455049" w:rsidRPr="00F21892">
                    <w:rPr>
                      <w:rFonts w:asciiTheme="minorHAnsi" w:hAnsiTheme="minorHAnsi" w:cs="Tahoma"/>
                    </w:rPr>
                    <w:t>The second-most</w:t>
                  </w:r>
                  <w:r w:rsidR="00B25C5B" w:rsidRPr="00F21892">
                    <w:rPr>
                      <w:rFonts w:asciiTheme="minorHAnsi" w:hAnsiTheme="minorHAnsi" w:cs="Tahoma"/>
                    </w:rPr>
                    <w:t xml:space="preserve"> common technical problems were due to the server or computer at the participant’s site.  Other </w:t>
                  </w:r>
                  <w:r w:rsidR="009235AB">
                    <w:rPr>
                      <w:rFonts w:asciiTheme="minorHAnsi" w:hAnsiTheme="minorHAnsi" w:cs="Tahoma"/>
                    </w:rPr>
                    <w:t xml:space="preserve">technical </w:t>
                  </w:r>
                  <w:r w:rsidR="00B25C5B" w:rsidRPr="00F21892">
                    <w:rPr>
                      <w:rFonts w:asciiTheme="minorHAnsi" w:hAnsiTheme="minorHAnsi" w:cs="Tahoma"/>
                    </w:rPr>
                    <w:t xml:space="preserve">problems involved not being able to access the chat feature, not having responses registered, </w:t>
                  </w:r>
                  <w:r w:rsidR="00455049" w:rsidRPr="00F21892">
                    <w:rPr>
                      <w:rFonts w:asciiTheme="minorHAnsi" w:hAnsiTheme="minorHAnsi" w:cs="Tahoma"/>
                    </w:rPr>
                    <w:t>slides out of sync with the presenter, and not being able to download documents or Power Point.</w:t>
                  </w:r>
                </w:p>
                <w:p w:rsidR="009235AB" w:rsidRPr="00F21892" w:rsidRDefault="009235AB" w:rsidP="00657FD3">
                  <w:pPr>
                    <w:spacing w:after="0" w:line="240" w:lineRule="auto"/>
                    <w:rPr>
                      <w:rFonts w:asciiTheme="minorHAnsi" w:hAnsiTheme="minorHAnsi" w:cs="Tahoma"/>
                    </w:rPr>
                  </w:pPr>
                  <w:r>
                    <w:rPr>
                      <w:rFonts w:asciiTheme="minorHAnsi" w:hAnsiTheme="minorHAnsi" w:cs="Tahoma"/>
                    </w:rPr>
                    <w:t xml:space="preserve">Suggestions to improve webinars include: make webinars count towards CEUs; have presentations less scripted; cite resources; provide </w:t>
                  </w:r>
                  <w:r w:rsidR="006003B9">
                    <w:rPr>
                      <w:rFonts w:asciiTheme="minorHAnsi" w:hAnsiTheme="minorHAnsi" w:cs="Tahoma"/>
                    </w:rPr>
                    <w:t>more notes on slides; indicate slide number for those listening on the phone; provide less basic and less background information.</w:t>
                  </w:r>
                </w:p>
                <w:p w:rsidR="00A84F02" w:rsidRPr="00657FD3" w:rsidRDefault="00A84F02" w:rsidP="009F4973">
                  <w:pPr>
                    <w:spacing w:after="0" w:line="240" w:lineRule="auto"/>
                    <w:rPr>
                      <w:rFonts w:cs="Arial"/>
                    </w:rPr>
                  </w:pPr>
                </w:p>
                <w:p w:rsidR="00A84F02" w:rsidRPr="0047719A" w:rsidRDefault="00A84F02" w:rsidP="00443ADF">
                  <w:pPr>
                    <w:spacing w:after="0" w:line="240" w:lineRule="auto"/>
                  </w:pPr>
                  <w:r>
                    <w:t>.</w:t>
                  </w:r>
                </w:p>
                <w:p w:rsidR="00A84F02" w:rsidRPr="009F4973" w:rsidRDefault="00A84F02" w:rsidP="009F4973"/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040" style="position:absolute;z-index:251662336;mso-position-horizontal-relative:page;mso-position-vertical-relative:page" from="189pt,747pt" to="8in,747pt" strokecolor="#7030a0" strokeweight="3.5pt">
            <w10:wrap side="left" anchorx="page" anchory="page"/>
          </v:line>
        </w:pict>
      </w:r>
      <w:r>
        <w:rPr>
          <w:noProof/>
        </w:rPr>
        <w:pict>
          <v:shape id="_x0000_s1035" type="#_x0000_t202" style="position:absolute;margin-left:30.75pt;margin-top:466.25pt;width:148.5pt;height:133.4pt;z-index:251657216;visibility:visible;mso-position-horizontal-relative:page;mso-position-vertical-relative:page" filled="f" stroked="f">
            <v:textbox style="mso-next-textbox:#_x0000_s1036" inset="0,0,0,0">
              <w:txbxContent>
                <w:p w:rsidR="00AB085A" w:rsidRPr="00455049" w:rsidRDefault="00AB085A" w:rsidP="003853BD">
                  <w:pPr>
                    <w:jc w:val="both"/>
                    <w:rPr>
                      <w:rFonts w:asciiTheme="minorHAnsi" w:hAnsiTheme="minorHAnsi"/>
                    </w:rPr>
                  </w:pPr>
                  <w:r w:rsidRPr="004771C7">
                    <w:rPr>
                      <w:rFonts w:asciiTheme="minorHAnsi" w:hAnsiTheme="minorHAnsi" w:cs="Tahoma"/>
                      <w:b/>
                      <w:i/>
                      <w:color w:val="403152" w:themeColor="accent4" w:themeShade="80"/>
                    </w:rPr>
                    <w:t>Are you likely to participate in another</w:t>
                  </w:r>
                  <w:r w:rsidR="00E274EB" w:rsidRPr="004771C7">
                    <w:rPr>
                      <w:rFonts w:asciiTheme="minorHAnsi" w:hAnsiTheme="minorHAnsi" w:cs="Tahoma"/>
                      <w:b/>
                      <w:i/>
                      <w:color w:val="403152" w:themeColor="accent4" w:themeShade="80"/>
                    </w:rPr>
                    <w:t xml:space="preserve"> </w:t>
                  </w:r>
                  <w:r w:rsidRPr="004771C7">
                    <w:rPr>
                      <w:rFonts w:asciiTheme="minorHAnsi" w:hAnsiTheme="minorHAnsi" w:cs="Tahoma"/>
                      <w:b/>
                      <w:i/>
                      <w:color w:val="403152" w:themeColor="accent4" w:themeShade="80"/>
                    </w:rPr>
                    <w:t>Talks on Tuesday webinar?</w:t>
                  </w:r>
                  <w:r w:rsidR="003853BD" w:rsidRPr="00455049">
                    <w:rPr>
                      <w:rFonts w:asciiTheme="minorHAnsi" w:hAnsiTheme="minorHAnsi" w:cs="Tahoma"/>
                      <w:b/>
                      <w:i/>
                      <w:color w:val="5F497A" w:themeColor="accent4" w:themeShade="BF"/>
                    </w:rPr>
                    <w:t xml:space="preserve"> </w:t>
                  </w:r>
                  <w:r w:rsidRPr="00455049">
                    <w:rPr>
                      <w:rFonts w:asciiTheme="minorHAnsi" w:hAnsiTheme="minorHAnsi" w:cs="Tahoma"/>
                    </w:rPr>
                    <w:t xml:space="preserve"> 100% of the attendees at the first three webinars </w:t>
                  </w:r>
                  <w:r w:rsidR="008D07D2" w:rsidRPr="00455049">
                    <w:rPr>
                      <w:rFonts w:asciiTheme="minorHAnsi" w:hAnsiTheme="minorHAnsi" w:cs="Tahoma"/>
                    </w:rPr>
                    <w:t>indicated</w:t>
                  </w:r>
                  <w:r w:rsidRPr="00455049">
                    <w:rPr>
                      <w:rFonts w:asciiTheme="minorHAnsi" w:hAnsiTheme="minorHAnsi" w:cs="Tahoma"/>
                    </w:rPr>
                    <w:t xml:space="preserve"> “Yes.”  The majority (71% of the QMR and 87% of the Clinical Opinion participants) strongly agreed that they plan to attend future webinars.</w:t>
                  </w:r>
                  <w:r w:rsidR="003853BD" w:rsidRPr="00455049">
                    <w:rPr>
                      <w:rFonts w:asciiTheme="minorHAnsi" w:hAnsiTheme="minorHAnsi" w:cs="Tahoma"/>
                    </w:rPr>
                    <w:t xml:space="preserve">  Nearly all others agreed.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37" type="#_x0000_t202" style="position:absolute;margin-left:22.55pt;margin-top:97.35pt;width:255pt;height:21.4pt;z-index:251659264;mso-wrap-edited:f;mso-position-horizontal-relative:page;mso-position-vertical-relative:page" wrapcoords="0 0 21600 0 21600 21600 0 21600 0 0" filled="f" stroked="f">
            <v:textbox style="mso-next-textbox:#_x0000_s1037" inset="0,0,0,0">
              <w:txbxContent>
                <w:p w:rsidR="00A84F02" w:rsidRPr="00631D31" w:rsidRDefault="00FD06BC" w:rsidP="003048C7">
                  <w:pPr>
                    <w:pStyle w:val="Heading3"/>
                  </w:pPr>
                  <w:r>
                    <w:t>Evaluation Findings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  <w:lang w:eastAsia="zh-TW"/>
        </w:rPr>
        <w:pict>
          <v:shape id="_x0000_s1047" type="#_x0000_t202" style="position:absolute;margin-left:-108.3pt;margin-top:75.55pt;width:178pt;height:118.25pt;z-index:251672576;mso-width-relative:margin;mso-height-relative:margin" stroked="f">
            <v:textbox style="mso-next-textbox:#_x0000_s1047">
              <w:txbxContent/>
            </v:textbox>
          </v:shape>
        </w:pict>
      </w:r>
      <w:r>
        <w:rPr>
          <w:noProof/>
        </w:rPr>
        <w:pict>
          <v:shape id="_x0000_s1046" type="#_x0000_t202" style="position:absolute;margin-left:22.55pt;margin-top:121.8pt;width:172.8pt;height:115.2pt;z-index:251670528;mso-wrap-edited:f;mso-position-horizontal-relative:page;mso-position-vertical-relative:page" wrapcoords="0 0 21600 0 21600 21600 0 21600 0 0" filled="f" stroked="f">
            <v:textbox style="mso-next-textbox:#_x0000_s1047" inset="0,0,0,0">
              <w:txbxContent>
                <w:p w:rsidR="00F21892" w:rsidRPr="00F21892" w:rsidRDefault="00F21892" w:rsidP="00F21892">
                  <w:pPr>
                    <w:rPr>
                      <w:rFonts w:asciiTheme="minorHAnsi" w:hAnsiTheme="minorHAnsi" w:cs="Tahoma"/>
                    </w:rPr>
                  </w:pPr>
                  <w:r w:rsidRPr="00F21892">
                    <w:rPr>
                      <w:rFonts w:asciiTheme="minorHAnsi" w:hAnsiTheme="minorHAnsi" w:cs="Tahoma"/>
                    </w:rPr>
                    <w:t>From September 2010 to February 2011, five webinars were held—three through the “Talks on Tuesdays” series and two additional webinars.  A total of 401 professionals attended the five webinars, with the highest attendance at the Prematurity (140 attendees) and Clinical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F21892">
                    <w:rPr>
                      <w:rFonts w:asciiTheme="minorHAnsi" w:hAnsiTheme="minorHAnsi" w:cs="Tahoma"/>
                    </w:rPr>
                    <w:t>Opinion (126 attendees) webinars.</w:t>
                  </w:r>
                </w:p>
                <w:p w:rsidR="00F21892" w:rsidRPr="00F21892" w:rsidRDefault="00F21892" w:rsidP="00F21892">
                  <w:pPr>
                    <w:rPr>
                      <w:rFonts w:asciiTheme="minorHAnsi" w:hAnsiTheme="minorHAnsi" w:cs="Tahoma"/>
                      <w:b/>
                      <w:i/>
                      <w:color w:val="17365D" w:themeColor="text2" w:themeShade="BF"/>
                    </w:rPr>
                  </w:pPr>
                  <w:r w:rsidRPr="00F21892">
                    <w:rPr>
                      <w:rFonts w:asciiTheme="minorHAnsi" w:hAnsiTheme="minorHAnsi" w:cs="Tahoma"/>
                    </w:rPr>
                    <w:t xml:space="preserve">Attendees rated the webinars very highly, with slightly higher ratings among administrators than providers and service coordinators.  The highest rated webinar was “Clinical Opinion.” </w:t>
                  </w:r>
                  <w:r w:rsidRPr="00F21892">
                    <w:rPr>
                      <w:rFonts w:asciiTheme="minorHAnsi" w:hAnsiTheme="minorHAnsi" w:cs="Tahoma"/>
                      <w:b/>
                      <w:i/>
                      <w:color w:val="17365D" w:themeColor="text2" w:themeShade="BF"/>
                    </w:rPr>
                    <w:t>The majority (68%) of participants strongly agreed that the information was practical and useful to their work.</w:t>
                  </w:r>
                </w:p>
                <w:p w:rsidR="00455049" w:rsidRPr="009F4973" w:rsidRDefault="00455049" w:rsidP="00455049"/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30" type="#_x0000_t202" style="position:absolute;margin-left:27pt;margin-top:37.45pt;width:275.25pt;height:56.15pt;z-index:251651072;mso-position-horizontal-relative:page;mso-position-vertical-relative:page" filled="f" stroked="f">
            <v:textbox style="mso-next-textbox:#_x0000_s1030">
              <w:txbxContent>
                <w:p w:rsidR="00A84F02" w:rsidRPr="00FD06BC" w:rsidRDefault="00A84F02" w:rsidP="002613EA">
                  <w:pPr>
                    <w:pStyle w:val="NoSpacing"/>
                    <w:rPr>
                      <w:rFonts w:ascii="Lucida Sans Unicode" w:hAnsi="Lucida Sans Unicode" w:cs="Lucida Sans Unicode"/>
                      <w:i/>
                      <w:sz w:val="44"/>
                      <w:szCs w:val="44"/>
                    </w:rPr>
                  </w:pPr>
                  <w:r>
                    <w:rPr>
                      <w:sz w:val="72"/>
                      <w:szCs w:val="72"/>
                    </w:rPr>
                    <w:t xml:space="preserve">   </w:t>
                  </w:r>
                  <w:r w:rsidRPr="00FD06BC">
                    <w:rPr>
                      <w:rFonts w:ascii="Lucida Sans Unicode" w:hAnsi="Lucida Sans Unicode" w:cs="Lucida Sans Unicode"/>
                      <w:sz w:val="72"/>
                      <w:szCs w:val="72"/>
                    </w:rPr>
                    <w:t>Webinars</w:t>
                  </w:r>
                  <w:r w:rsidRPr="00FD06BC">
                    <w:rPr>
                      <w:rFonts w:ascii="Lucida Sans Unicode" w:hAnsi="Lucida Sans Unicode" w:cs="Lucida Sans Unicode"/>
                      <w:i/>
                      <w:sz w:val="44"/>
                      <w:szCs w:val="44"/>
                    </w:rPr>
                    <w:t xml:space="preserve">       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oundrect id="_x0000_s1044" style="position:absolute;margin-left:36.75pt;margin-top:37.45pt;width:588.75pt;height:52.15pt;z-index:-251649024;mso-position-horizontal-relative:page;mso-position-vertical-relative:page" arcsize="31196f" stroked="f">
            <w10:wrap side="left" anchorx="page" anchory="page"/>
          </v:roundrect>
        </w:pict>
      </w:r>
      <w:r>
        <w:rPr>
          <w:noProof/>
        </w:rPr>
        <w:pict>
          <v:rect id="_x0000_s1042" style="position:absolute;margin-left:-1.5pt;margin-top:-2pt;width:610.5pt;height:91.6pt;z-index:-251651072;mso-position-horizontal-relative:page;mso-position-vertical-relative:page" fillcolor="#92cddc" stroked="f">
            <w10:wrap side="left" anchorx="page" anchory="page"/>
          </v:rect>
        </w:pict>
      </w:r>
      <w:r>
        <w:rPr>
          <w:noProof/>
        </w:rPr>
        <w:pict>
          <v:roundrect id="_x0000_s1029" style="position:absolute;margin-left:21.75pt;margin-top:22.5pt;width:5in;height:19pt;z-index:251650048;mso-position-horizontal-relative:page;mso-position-vertical-relative:page" arcsize=".5" fillcolor="#000084" stroked="f">
            <w10:wrap anchorx="page" anchory="page"/>
          </v:roundrect>
        </w:pict>
      </w:r>
      <w:r>
        <w:rPr>
          <w:noProof/>
        </w:rPr>
        <w:pict>
          <v:shape id="_x0000_s1032" type="#_x0000_t202" style="position:absolute;margin-left:36.75pt;margin-top:21pt;width:345pt;height:26.5pt;z-index:251653120;mso-position-horizontal-relative:page;mso-position-vertical-relative:page" filled="f" stroked="f">
            <v:textbox style="mso-next-textbox:#_x0000_s1032" inset="3.6pt,,3.6pt">
              <w:txbxContent>
                <w:p w:rsidR="00A84F02" w:rsidRPr="002350AD" w:rsidRDefault="00A84F02" w:rsidP="008E45DE">
                  <w:pPr>
                    <w:pStyle w:val="Heading1"/>
                  </w:pPr>
                  <w:r>
                    <w:t>September 2010 – February 2011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251.75pt;margin-top:492pt;width:118pt;height:85.2pt;z-index:251658240;visibility:visible;mso-position-horizontal-relative:page;mso-position-vertical-relative:page" filled="f" stroked="f">
            <v:textbox style="mso-next-textbox:#_x0000_s1036" inset="0,0,0,0">
              <w:txbxContent/>
            </v:textbox>
            <w10:wrap side="left" anchorx="page" anchory="page"/>
          </v:shape>
        </w:pict>
      </w:r>
      <w:r>
        <w:rPr>
          <w:noProof/>
          <w:lang w:eastAsia="zh-TW"/>
        </w:rPr>
        <w:pict>
          <v:rect id="_x0000_s1045" style="position:absolute;margin-left:1176.35pt;margin-top:0;width:211.25pt;height:770.95pt;rotation:-360;z-index:251669504;mso-height-percent:1000;mso-position-horizontal:right;mso-position-horizontal-relative:page;mso-position-vertical:center;mso-position-vertical-relative:page;mso-height-percent:1000" o:allowincell="f" fillcolor="#a7bfde" stroked="f">
            <v:fill opacity="13107f"/>
            <v:imagedata embosscolor="shadow add(51)"/>
            <v:shadow on="t" color="#d4cfb3" opacity=".5" offset="19pt,-21pt" offset2="26pt,-30pt"/>
            <v:textbox style="mso-next-textbox:#_x0000_s1045" inset="28.8pt,7.2pt,14.4pt,7.2pt">
              <w:txbxContent>
                <w:p w:rsidR="00A84F02" w:rsidRDefault="00A84F02" w:rsidP="00514483">
                  <w:pPr>
                    <w:spacing w:after="0" w:line="240" w:lineRule="auto"/>
                    <w:contextualSpacing/>
                    <w:rPr>
                      <w:rFonts w:cs="Arial"/>
                    </w:rPr>
                  </w:pPr>
                </w:p>
                <w:p w:rsidR="00A84F02" w:rsidRPr="00514483" w:rsidRDefault="00A84F02" w:rsidP="00514483">
                  <w:pPr>
                    <w:pStyle w:val="ListParagraph"/>
                    <w:spacing w:after="0" w:line="240" w:lineRule="auto"/>
                    <w:ind w:left="0"/>
                    <w:contextualSpacing/>
                    <w:rPr>
                      <w:rFonts w:ascii="Tahoma" w:hAnsi="Tahoma" w:cs="Tahoma"/>
                      <w:b/>
                      <w:color w:val="365F91"/>
                    </w:rPr>
                  </w:pPr>
                </w:p>
                <w:p w:rsidR="00A84F02" w:rsidRPr="00FD06BC" w:rsidRDefault="00A84F02" w:rsidP="00514483">
                  <w:pPr>
                    <w:pStyle w:val="ListParagraph"/>
                    <w:spacing w:after="0" w:line="240" w:lineRule="auto"/>
                    <w:ind w:left="0"/>
                    <w:contextualSpacing/>
                    <w:rPr>
                      <w:rFonts w:ascii="Lucida Sans Unicode" w:hAnsi="Lucida Sans Unicode" w:cs="Lucida Sans Unicode"/>
                      <w:color w:val="17365D" w:themeColor="text2" w:themeShade="BF"/>
                      <w:sz w:val="28"/>
                      <w:szCs w:val="28"/>
                    </w:rPr>
                  </w:pPr>
                  <w:r w:rsidRPr="00FD06BC">
                    <w:rPr>
                      <w:rFonts w:ascii="Lucida Sans Unicode" w:hAnsi="Lucida Sans Unicode" w:cs="Lucida Sans Unicode"/>
                      <w:color w:val="17365D" w:themeColor="text2" w:themeShade="BF"/>
                      <w:sz w:val="28"/>
                      <w:szCs w:val="28"/>
                    </w:rPr>
                    <w:t xml:space="preserve">Other Professional Development Needed </w:t>
                  </w:r>
                </w:p>
                <w:p w:rsidR="00A84F02" w:rsidRPr="00FD06BC" w:rsidRDefault="00A84F02" w:rsidP="00514483">
                  <w:pPr>
                    <w:pStyle w:val="ListParagraph"/>
                    <w:spacing w:after="120" w:line="240" w:lineRule="auto"/>
                    <w:ind w:left="0"/>
                    <w:contextualSpacing/>
                    <w:rPr>
                      <w:rFonts w:ascii="Tahoma" w:hAnsi="Tahoma" w:cs="Tahoma"/>
                      <w:b/>
                      <w:i/>
                      <w:color w:val="17365D" w:themeColor="text2" w:themeShade="BF"/>
                      <w:sz w:val="16"/>
                      <w:szCs w:val="16"/>
                    </w:rPr>
                  </w:pPr>
                  <w:r w:rsidRPr="00FD06BC">
                    <w:rPr>
                      <w:rFonts w:ascii="Tahoma" w:hAnsi="Tahoma" w:cs="Tahoma"/>
                      <w:b/>
                      <w:i/>
                      <w:color w:val="17365D" w:themeColor="text2" w:themeShade="BF"/>
                      <w:sz w:val="16"/>
                      <w:szCs w:val="16"/>
                    </w:rPr>
                    <w:t>(in rank order)</w:t>
                  </w:r>
                </w:p>
                <w:p w:rsidR="00A84F02" w:rsidRDefault="00A84F02" w:rsidP="00514483">
                  <w:pPr>
                    <w:pStyle w:val="ListParagraph"/>
                    <w:spacing w:after="0" w:line="240" w:lineRule="auto"/>
                    <w:ind w:left="0"/>
                    <w:contextualSpacing/>
                    <w:rPr>
                      <w:rFonts w:cs="Arial"/>
                    </w:rPr>
                  </w:pP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Sensory Integration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</w:rPr>
                    <w:t xml:space="preserve">and EI services to children with vision/hearing impairments 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Practice</w:t>
                  </w:r>
                  <w:r w:rsidRPr="00A84F02"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  <w:i/>
                    </w:rPr>
                    <w:t>(collaboration with EC programs and therapists, service planning, PT interventions, treatment, practice manual)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  <w:i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 xml:space="preserve">Autism </w:t>
                  </w:r>
                  <w:r w:rsidRPr="00A84F02">
                    <w:rPr>
                      <w:rFonts w:ascii="Tahoma" w:hAnsi="Tahoma" w:cs="Tahoma"/>
                      <w:i/>
                    </w:rPr>
                    <w:t>(services, diagnoses, strategies, behavioral challenges, resources)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  <w:i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Development</w:t>
                  </w:r>
                  <w:r w:rsidRPr="00A84F02"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  <w:i/>
                    </w:rPr>
                    <w:t>(treatment for preemies, typical and atypical development)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  <w:i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Outcomes</w:t>
                  </w:r>
                  <w:r w:rsidRPr="00A84F02"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  <w:i/>
                    </w:rPr>
                    <w:t>(indicators, IFSP, writing goals and outcomes)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  <w:i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Feeding</w:t>
                  </w:r>
                  <w:r w:rsidRPr="00A84F02"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  <w:i/>
                    </w:rPr>
                    <w:t>(feeding disorders, food allergies, feeding issues)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</w:rPr>
                  </w:pPr>
                  <w:r w:rsidRPr="00A84F02">
                    <w:rPr>
                      <w:rFonts w:ascii="Tahoma" w:hAnsi="Tahoma" w:cs="Tahoma"/>
                    </w:rPr>
                    <w:t xml:space="preserve">Working with </w:t>
                  </w:r>
                  <w:r w:rsidRPr="00A84F02">
                    <w:rPr>
                      <w:rFonts w:ascii="Tahoma" w:hAnsi="Tahoma" w:cs="Tahoma"/>
                      <w:b/>
                    </w:rPr>
                    <w:t>parents</w:t>
                  </w:r>
                  <w:r w:rsidRPr="00A84F02"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  <w:i/>
                    </w:rPr>
                    <w:t>(communication issues, parents with MH issues, military families, foster parents, involving families)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  <w:i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 xml:space="preserve">Assessment </w:t>
                  </w:r>
                  <w:r w:rsidRPr="00A84F02">
                    <w:rPr>
                      <w:rFonts w:ascii="Tahoma" w:hAnsi="Tahoma" w:cs="Tahoma"/>
                      <w:i/>
                    </w:rPr>
                    <w:t>(screening tools, eligibility determination, service planning)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Mental health</w:t>
                  </w:r>
                  <w:r w:rsidRPr="00A84F02"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  <w:i/>
                    </w:rPr>
                    <w:t>(infant and toddler mental health, assessment, MH topics)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  <w:i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Parent education</w:t>
                  </w:r>
                  <w:r w:rsidRPr="00A84F02"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  <w:i/>
                    </w:rPr>
                    <w:t>(adult learning styles, coaching)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Transition</w:t>
                  </w:r>
                  <w:r w:rsidRPr="00A84F02">
                    <w:rPr>
                      <w:rFonts w:ascii="Tahoma" w:hAnsi="Tahoma" w:cs="Tahoma"/>
                    </w:rPr>
                    <w:t xml:space="preserve"> planning and process 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Social-emotional development</w:t>
                  </w:r>
                  <w:r w:rsidRPr="00A84F02"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  <w:i/>
                    </w:rPr>
                    <w:t>(including EI eligibility and delays)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  <w:i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Requirements</w:t>
                  </w:r>
                  <w:r w:rsidRPr="00A84F02"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  <w:i/>
                    </w:rPr>
                    <w:t>(HIPAA, FERPA, closing Medicaid cases, Part C expenditure reports)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Specific impairments</w:t>
                  </w:r>
                  <w:r w:rsidRPr="00A84F02">
                    <w:rPr>
                      <w:rFonts w:ascii="Tahoma" w:hAnsi="Tahoma" w:cs="Tahoma"/>
                    </w:rPr>
                    <w:t xml:space="preserve"> (</w:t>
                  </w:r>
                  <w:r w:rsidR="007B2DCA">
                    <w:rPr>
                      <w:rFonts w:ascii="Tahoma" w:hAnsi="Tahoma" w:cs="Tahoma"/>
                      <w:i/>
                    </w:rPr>
                    <w:t xml:space="preserve">apraxia, </w:t>
                  </w:r>
                  <w:r w:rsidR="007B2DCA" w:rsidRPr="007B2DCA">
                    <w:rPr>
                      <w:rFonts w:ascii="Tahoma" w:hAnsi="Tahoma" w:cs="Tahoma"/>
                      <w:bCs/>
                      <w:i/>
                      <w:color w:val="auto"/>
                      <w:kern w:val="36"/>
                    </w:rPr>
                    <w:t>Periventricular</w:t>
                  </w:r>
                  <w:r w:rsidR="007B2DCA" w:rsidRPr="00D11F0E">
                    <w:rPr>
                      <w:rFonts w:ascii="inherit" w:hAnsi="inherit" w:cs="Arial"/>
                      <w:b/>
                      <w:bCs/>
                      <w:color w:val="14376C"/>
                      <w:kern w:val="36"/>
                      <w:sz w:val="27"/>
                    </w:rPr>
                    <w:t xml:space="preserve"> </w:t>
                  </w:r>
                  <w:r w:rsidR="007B2DCA" w:rsidRPr="007B2DCA">
                    <w:rPr>
                      <w:rFonts w:ascii="Tahoma" w:hAnsi="Tahoma" w:cs="Tahoma"/>
                      <w:bCs/>
                      <w:i/>
                      <w:color w:val="auto"/>
                      <w:kern w:val="36"/>
                    </w:rPr>
                    <w:t>leukomalacia</w:t>
                  </w:r>
                  <w:r w:rsidR="003F3CDE">
                    <w:rPr>
                      <w:rFonts w:ascii="Tahoma" w:hAnsi="Tahoma" w:cs="Tahoma"/>
                      <w:bCs/>
                      <w:i/>
                      <w:color w:val="auto"/>
                      <w:kern w:val="36"/>
                    </w:rPr>
                    <w:t>,</w:t>
                  </w:r>
                  <w:r w:rsidRPr="00A84F02">
                    <w:rPr>
                      <w:rFonts w:ascii="Tahoma" w:hAnsi="Tahoma" w:cs="Tahoma"/>
                      <w:i/>
                    </w:rPr>
                    <w:t xml:space="preserve"> cleft palate articulation, eligibility)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  <w:i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Assistive technology</w:t>
                  </w:r>
                  <w:r w:rsidRPr="00A84F02"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  <w:i/>
                    </w:rPr>
                    <w:t>(devices, cochlear implants and FM systems, AT in schools)</w:t>
                  </w:r>
                </w:p>
                <w:p w:rsidR="00A84F02" w:rsidRPr="00A84F02" w:rsidRDefault="00A84F02" w:rsidP="0051448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  <w:i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Behavior</w:t>
                  </w:r>
                  <w:r w:rsidRPr="00A84F02">
                    <w:rPr>
                      <w:rFonts w:ascii="Tahoma" w:hAnsi="Tahoma" w:cs="Tahoma"/>
                    </w:rPr>
                    <w:t xml:space="preserve"> </w:t>
                  </w:r>
                  <w:r w:rsidRPr="00A84F02">
                    <w:rPr>
                      <w:rFonts w:ascii="Tahoma" w:hAnsi="Tahoma" w:cs="Tahoma"/>
                      <w:i/>
                    </w:rPr>
                    <w:t>(behavior difficulties,  management strategies)</w:t>
                  </w:r>
                </w:p>
                <w:p w:rsidR="00A84F02" w:rsidRDefault="00A84F02" w:rsidP="00A84F02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Down syndrome</w:t>
                  </w:r>
                  <w:r w:rsidRPr="00A84F02">
                    <w:rPr>
                      <w:rFonts w:ascii="Tahoma" w:hAnsi="Tahoma" w:cs="Tahoma"/>
                    </w:rPr>
                    <w:t xml:space="preserve"> (EI and children with Down Syndrome)</w:t>
                  </w:r>
                </w:p>
                <w:p w:rsidR="00A84F02" w:rsidRPr="00A84F02" w:rsidRDefault="00A84F02" w:rsidP="00A84F02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ahoma" w:hAnsi="Tahoma" w:cs="Tahoma"/>
                    </w:rPr>
                  </w:pPr>
                  <w:r w:rsidRPr="00A84F02">
                    <w:rPr>
                      <w:rFonts w:ascii="Tahoma" w:hAnsi="Tahoma" w:cs="Tahoma"/>
                      <w:b/>
                    </w:rPr>
                    <w:t>Miscellaneous</w:t>
                  </w:r>
                  <w:r w:rsidRPr="00A84F02">
                    <w:rPr>
                      <w:rFonts w:ascii="Tahoma" w:hAnsi="Tahoma" w:cs="Tahoma"/>
                    </w:rPr>
                    <w:t xml:space="preserve"> (drug exposure, homeless children, abused/ neglected children, cultural competency, VA Child Indicator Summary)</w:t>
                  </w:r>
                </w:p>
                <w:p w:rsidR="00A84F02" w:rsidRPr="00A84F02" w:rsidRDefault="00A84F02" w:rsidP="00514483">
                  <w:pPr>
                    <w:rPr>
                      <w:rFonts w:ascii="Tahoma" w:hAnsi="Tahoma" w:cs="Tahoma"/>
                      <w:i/>
                      <w:iCs/>
                      <w:color w:val="1F497D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shape id="_x0000_s1031" type="#_x0000_t202" style="position:absolute;margin-left:200pt;margin-top:749.2pt;width:108pt;height:19.75pt;z-index:251652096;mso-position-horizontal-relative:page;mso-position-vertical-relative:page" stroked="f">
            <v:textbox style="mso-next-textbox:#_x0000_s1031">
              <w:txbxContent>
                <w:p w:rsidR="00A84F02" w:rsidRPr="003070EE" w:rsidRDefault="00A84F02" w:rsidP="008E45DE">
                  <w:pPr>
                    <w:pStyle w:val="VolumeandIssue"/>
                  </w:pPr>
                  <w:r>
                    <w:t>February 2011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oundrect id="_x0000_s1026" style="position:absolute;margin-left:96.75pt;margin-top:762pt;width:443.25pt;height:10.8pt;z-index:251646976;mso-position-horizontal-relative:page;mso-position-vertical-relative:page" arcsize=".5" fillcolor="#31849b" stroked="f">
            <w10:wrap anchorx="page" anchory="page"/>
          </v:roundrect>
        </w:pict>
      </w:r>
      <w:r>
        <w:rPr>
          <w:noProof/>
        </w:rPr>
        <w:pict>
          <v:rect id="_x0000_s1028" style="position:absolute;margin-left:46.5pt;margin-top:246.6pt;width:120.6pt;height:80.6pt;z-index:251649024;visibility:hidden;mso-wrap-edited:f" cliptowrap="t" stroked="f">
            <v:fill recolor="t" rotate="t"/>
            <v:stroke joinstyle="round"/>
            <v:imagedata cropbottom="16777215f" cropright="16777215f"/>
            <v:path gradientshapeok="f" insetpenok="f" o:connecttype="segments"/>
            <o:lock v:ext="edit" shapetype="t"/>
            <v:textbox inset="2.88pt,2.88pt,2.88pt,2.88pt"/>
            <w10:wrap side="left"/>
          </v:rect>
        </w:pict>
      </w:r>
      <w:r>
        <w:rPr>
          <w:noProof/>
        </w:rPr>
        <w:pict>
          <v:rect id="_x0000_s1027" style="position:absolute;margin-left:52.8pt;margin-top:366.55pt;width:108pt;height:54pt;z-index:251648000;visibility:hidden;mso-wrap-edited:f;mso-wrap-distance-left:2.88pt;mso-wrap-distance-top:2.88pt;mso-wrap-distance-right:2.88pt;mso-wrap-distance-bottom:2.88pt" insetpen="t" cliptowrap="t" filled="f" fillcolor="black" stroked="f" strokecolor="white" strokeweight="0">
            <v:shadow color="#ccc"/>
            <o:lock v:ext="edit" shapetype="t"/>
            <v:textbox inset="2.88pt,2.88pt,2.88pt,2.88pt"/>
            <w10:wrap side="left"/>
          </v:rect>
        </w:pict>
      </w:r>
    </w:p>
    <w:sectPr w:rsidR="00265EA5" w:rsidSect="0078206E">
      <w:type w:val="nextColumn"/>
      <w:pgSz w:w="12240" w:h="15840" w:code="1"/>
      <w:pgMar w:top="864" w:right="878" w:bottom="864" w:left="878" w:gutter="0"/>
      <w:titlePg/>
      <w:docGrid w:linePitch="21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632A0" w:rsidRDefault="00D632A0">
      <w:r>
        <w:separator/>
      </w:r>
    </w:p>
  </w:endnote>
  <w:endnote w:type="continuationSeparator" w:id="1">
    <w:p w:rsidR="00D632A0" w:rsidRDefault="00D6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632A0" w:rsidRDefault="00D632A0">
      <w:r>
        <w:separator/>
      </w:r>
    </w:p>
  </w:footnote>
  <w:footnote w:type="continuationSeparator" w:id="1">
    <w:p w:rsidR="00D632A0" w:rsidRDefault="00D632A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D5C34"/>
    <w:multiLevelType w:val="hybridMultilevel"/>
    <w:tmpl w:val="5984728E"/>
    <w:lvl w:ilvl="0" w:tplc="E70C5AD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E6FDE"/>
    <w:multiLevelType w:val="hybridMultilevel"/>
    <w:tmpl w:val="2190E5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100121"/>
    <w:multiLevelType w:val="hybridMultilevel"/>
    <w:tmpl w:val="0ADAC736"/>
    <w:lvl w:ilvl="0" w:tplc="F92242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1DE336CF"/>
    <w:multiLevelType w:val="hybridMultilevel"/>
    <w:tmpl w:val="B2806376"/>
    <w:lvl w:ilvl="0" w:tplc="F92242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2775E"/>
    <w:multiLevelType w:val="hybridMultilevel"/>
    <w:tmpl w:val="90A2FE64"/>
    <w:lvl w:ilvl="0" w:tplc="06AAFB12">
      <w:start w:val="1"/>
      <w:numFmt w:val="decimal"/>
      <w:suff w:val="space"/>
      <w:lvlText w:val="%1."/>
      <w:lvlJc w:val="left"/>
      <w:pPr>
        <w:ind w:left="-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92" w:hanging="360"/>
      </w:pPr>
    </w:lvl>
    <w:lvl w:ilvl="2" w:tplc="0409001B" w:tentative="1">
      <w:start w:val="1"/>
      <w:numFmt w:val="lowerRoman"/>
      <w:lvlText w:val="%3."/>
      <w:lvlJc w:val="right"/>
      <w:pPr>
        <w:ind w:left="-1872" w:hanging="180"/>
      </w:pPr>
    </w:lvl>
    <w:lvl w:ilvl="3" w:tplc="0409000F" w:tentative="1">
      <w:start w:val="1"/>
      <w:numFmt w:val="decimal"/>
      <w:lvlText w:val="%4."/>
      <w:lvlJc w:val="left"/>
      <w:pPr>
        <w:ind w:left="-1152" w:hanging="360"/>
      </w:pPr>
    </w:lvl>
    <w:lvl w:ilvl="4" w:tplc="04090019" w:tentative="1">
      <w:start w:val="1"/>
      <w:numFmt w:val="lowerLetter"/>
      <w:lvlText w:val="%5."/>
      <w:lvlJc w:val="left"/>
      <w:pPr>
        <w:ind w:left="-432" w:hanging="360"/>
      </w:pPr>
    </w:lvl>
    <w:lvl w:ilvl="5" w:tplc="0409001B" w:tentative="1">
      <w:start w:val="1"/>
      <w:numFmt w:val="lowerRoman"/>
      <w:lvlText w:val="%6."/>
      <w:lvlJc w:val="right"/>
      <w:pPr>
        <w:ind w:left="288" w:hanging="180"/>
      </w:pPr>
    </w:lvl>
    <w:lvl w:ilvl="6" w:tplc="0409000F" w:tentative="1">
      <w:start w:val="1"/>
      <w:numFmt w:val="decimal"/>
      <w:lvlText w:val="%7."/>
      <w:lvlJc w:val="left"/>
      <w:pPr>
        <w:ind w:left="1008" w:hanging="360"/>
      </w:pPr>
    </w:lvl>
    <w:lvl w:ilvl="7" w:tplc="04090019" w:tentative="1">
      <w:start w:val="1"/>
      <w:numFmt w:val="lowerLetter"/>
      <w:lvlText w:val="%8."/>
      <w:lvlJc w:val="left"/>
      <w:pPr>
        <w:ind w:left="1728" w:hanging="360"/>
      </w:pPr>
    </w:lvl>
    <w:lvl w:ilvl="8" w:tplc="0409001B" w:tentative="1">
      <w:start w:val="1"/>
      <w:numFmt w:val="lowerRoman"/>
      <w:lvlText w:val="%9."/>
      <w:lvlJc w:val="right"/>
      <w:pPr>
        <w:ind w:left="2448" w:hanging="180"/>
      </w:pPr>
    </w:lvl>
  </w:abstractNum>
  <w:abstractNum w:abstractNumId="16">
    <w:nsid w:val="28C6770C"/>
    <w:multiLevelType w:val="hybridMultilevel"/>
    <w:tmpl w:val="2AAC6EBA"/>
    <w:lvl w:ilvl="0" w:tplc="210C2FB2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4A14C56"/>
    <w:multiLevelType w:val="hybridMultilevel"/>
    <w:tmpl w:val="6898EF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23CBC"/>
    <w:multiLevelType w:val="hybridMultilevel"/>
    <w:tmpl w:val="812AB186"/>
    <w:lvl w:ilvl="0" w:tplc="0409000F">
      <w:start w:val="1"/>
      <w:numFmt w:val="decimal"/>
      <w:lvlText w:val="%1."/>
      <w:lvlJc w:val="left"/>
      <w:pPr>
        <w:ind w:left="-7920" w:hanging="360"/>
      </w:pPr>
    </w:lvl>
    <w:lvl w:ilvl="1" w:tplc="04090019" w:tentative="1">
      <w:start w:val="1"/>
      <w:numFmt w:val="lowerLetter"/>
      <w:lvlText w:val="%2."/>
      <w:lvlJc w:val="left"/>
      <w:pPr>
        <w:ind w:left="-7200" w:hanging="360"/>
      </w:pPr>
    </w:lvl>
    <w:lvl w:ilvl="2" w:tplc="0409001B" w:tentative="1">
      <w:start w:val="1"/>
      <w:numFmt w:val="lowerRoman"/>
      <w:lvlText w:val="%3."/>
      <w:lvlJc w:val="right"/>
      <w:pPr>
        <w:ind w:left="-6480" w:hanging="180"/>
      </w:pPr>
    </w:lvl>
    <w:lvl w:ilvl="3" w:tplc="0409000F" w:tentative="1">
      <w:start w:val="1"/>
      <w:numFmt w:val="decimal"/>
      <w:lvlText w:val="%4."/>
      <w:lvlJc w:val="left"/>
      <w:pPr>
        <w:ind w:left="-5760" w:hanging="360"/>
      </w:pPr>
    </w:lvl>
    <w:lvl w:ilvl="4" w:tplc="04090019" w:tentative="1">
      <w:start w:val="1"/>
      <w:numFmt w:val="lowerLetter"/>
      <w:lvlText w:val="%5."/>
      <w:lvlJc w:val="left"/>
      <w:pPr>
        <w:ind w:left="-5040" w:hanging="360"/>
      </w:pPr>
    </w:lvl>
    <w:lvl w:ilvl="5" w:tplc="0409001B" w:tentative="1">
      <w:start w:val="1"/>
      <w:numFmt w:val="lowerRoman"/>
      <w:lvlText w:val="%6."/>
      <w:lvlJc w:val="right"/>
      <w:pPr>
        <w:ind w:left="-4320" w:hanging="180"/>
      </w:pPr>
    </w:lvl>
    <w:lvl w:ilvl="6" w:tplc="0409000F" w:tentative="1">
      <w:start w:val="1"/>
      <w:numFmt w:val="decimal"/>
      <w:lvlText w:val="%7."/>
      <w:lvlJc w:val="left"/>
      <w:pPr>
        <w:ind w:left="-3600" w:hanging="360"/>
      </w:pPr>
    </w:lvl>
    <w:lvl w:ilvl="7" w:tplc="04090019" w:tentative="1">
      <w:start w:val="1"/>
      <w:numFmt w:val="lowerLetter"/>
      <w:lvlText w:val="%8."/>
      <w:lvlJc w:val="left"/>
      <w:pPr>
        <w:ind w:left="-2880" w:hanging="360"/>
      </w:pPr>
    </w:lvl>
    <w:lvl w:ilvl="8" w:tplc="0409001B" w:tentative="1">
      <w:start w:val="1"/>
      <w:numFmt w:val="lowerRoman"/>
      <w:lvlText w:val="%9."/>
      <w:lvlJc w:val="right"/>
      <w:pPr>
        <w:ind w:left="-2160" w:hanging="180"/>
      </w:pPr>
    </w:lvl>
  </w:abstractNum>
  <w:abstractNum w:abstractNumId="20">
    <w:nsid w:val="3FDA60B3"/>
    <w:multiLevelType w:val="hybridMultilevel"/>
    <w:tmpl w:val="990CFB2C"/>
    <w:lvl w:ilvl="0" w:tplc="FE4AFF08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81DB6"/>
    <w:multiLevelType w:val="hybridMultilevel"/>
    <w:tmpl w:val="1AB85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876349"/>
    <w:multiLevelType w:val="hybridMultilevel"/>
    <w:tmpl w:val="6C1868BC"/>
    <w:lvl w:ilvl="0" w:tplc="C0BC7CBA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E00EB2"/>
    <w:multiLevelType w:val="hybridMultilevel"/>
    <w:tmpl w:val="D69216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126CF"/>
    <w:multiLevelType w:val="hybridMultilevel"/>
    <w:tmpl w:val="BC40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F02C77"/>
    <w:multiLevelType w:val="hybridMultilevel"/>
    <w:tmpl w:val="F9CC8AE4"/>
    <w:lvl w:ilvl="0" w:tplc="DC7C35E8">
      <w:start w:val="1"/>
      <w:numFmt w:val="bullet"/>
      <w:pStyle w:val="SidebarLis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7"/>
  </w:num>
  <w:num w:numId="13">
    <w:abstractNumId w:val="0"/>
  </w:num>
  <w:num w:numId="14">
    <w:abstractNumId w:val="26"/>
  </w:num>
  <w:num w:numId="15">
    <w:abstractNumId w:val="17"/>
  </w:num>
  <w:num w:numId="16">
    <w:abstractNumId w:val="12"/>
  </w:num>
  <w:num w:numId="17">
    <w:abstractNumId w:val="19"/>
  </w:num>
  <w:num w:numId="18">
    <w:abstractNumId w:val="24"/>
  </w:num>
  <w:num w:numId="19">
    <w:abstractNumId w:val="13"/>
  </w:num>
  <w:num w:numId="20">
    <w:abstractNumId w:val="14"/>
  </w:num>
  <w:num w:numId="21">
    <w:abstractNumId w:val="21"/>
  </w:num>
  <w:num w:numId="22">
    <w:abstractNumId w:val="15"/>
  </w:num>
  <w:num w:numId="23">
    <w:abstractNumId w:val="22"/>
  </w:num>
  <w:num w:numId="24">
    <w:abstractNumId w:val="20"/>
  </w:num>
  <w:num w:numId="25">
    <w:abstractNumId w:val="25"/>
  </w:num>
  <w:num w:numId="26">
    <w:abstractNumId w:val="1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7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E4"/>
    <w:rsid w:val="000248BF"/>
    <w:rsid w:val="00037043"/>
    <w:rsid w:val="00043627"/>
    <w:rsid w:val="00047FC5"/>
    <w:rsid w:val="0006626C"/>
    <w:rsid w:val="000A6B5B"/>
    <w:rsid w:val="000D1D99"/>
    <w:rsid w:val="000D3AF4"/>
    <w:rsid w:val="000E5848"/>
    <w:rsid w:val="000F6CFC"/>
    <w:rsid w:val="00171CF7"/>
    <w:rsid w:val="001A1A48"/>
    <w:rsid w:val="001B78DA"/>
    <w:rsid w:val="001C1AB2"/>
    <w:rsid w:val="001C2B8C"/>
    <w:rsid w:val="001C62F5"/>
    <w:rsid w:val="001E2EAA"/>
    <w:rsid w:val="001E6338"/>
    <w:rsid w:val="002018D9"/>
    <w:rsid w:val="00204C61"/>
    <w:rsid w:val="0022453D"/>
    <w:rsid w:val="00235AE4"/>
    <w:rsid w:val="002613EA"/>
    <w:rsid w:val="00265EA5"/>
    <w:rsid w:val="00280A50"/>
    <w:rsid w:val="0029182B"/>
    <w:rsid w:val="002954F8"/>
    <w:rsid w:val="002C07A9"/>
    <w:rsid w:val="002C7EDA"/>
    <w:rsid w:val="003048C7"/>
    <w:rsid w:val="003077B0"/>
    <w:rsid w:val="003161A6"/>
    <w:rsid w:val="003557EA"/>
    <w:rsid w:val="00375D00"/>
    <w:rsid w:val="00376C69"/>
    <w:rsid w:val="003818A6"/>
    <w:rsid w:val="003853BD"/>
    <w:rsid w:val="00394F50"/>
    <w:rsid w:val="003E4688"/>
    <w:rsid w:val="003E6F76"/>
    <w:rsid w:val="003F3CDE"/>
    <w:rsid w:val="003F505E"/>
    <w:rsid w:val="00406D56"/>
    <w:rsid w:val="00414543"/>
    <w:rsid w:val="00416D73"/>
    <w:rsid w:val="004224D7"/>
    <w:rsid w:val="004270A0"/>
    <w:rsid w:val="00440818"/>
    <w:rsid w:val="00443ADF"/>
    <w:rsid w:val="00455049"/>
    <w:rsid w:val="0047719A"/>
    <w:rsid w:val="004771C7"/>
    <w:rsid w:val="004875B0"/>
    <w:rsid w:val="004A712C"/>
    <w:rsid w:val="004B40E2"/>
    <w:rsid w:val="004C1B51"/>
    <w:rsid w:val="004E5EAE"/>
    <w:rsid w:val="00506068"/>
    <w:rsid w:val="005063B3"/>
    <w:rsid w:val="005065C2"/>
    <w:rsid w:val="00514483"/>
    <w:rsid w:val="00521175"/>
    <w:rsid w:val="00534B84"/>
    <w:rsid w:val="00564ECA"/>
    <w:rsid w:val="005B6CE9"/>
    <w:rsid w:val="005E3DF0"/>
    <w:rsid w:val="005F6F0C"/>
    <w:rsid w:val="005F7D6A"/>
    <w:rsid w:val="006003B9"/>
    <w:rsid w:val="00657FD3"/>
    <w:rsid w:val="00663BBA"/>
    <w:rsid w:val="006A55E9"/>
    <w:rsid w:val="006D055D"/>
    <w:rsid w:val="0071748A"/>
    <w:rsid w:val="00717FE9"/>
    <w:rsid w:val="0073549B"/>
    <w:rsid w:val="00735A8E"/>
    <w:rsid w:val="0074496F"/>
    <w:rsid w:val="00772C93"/>
    <w:rsid w:val="0078206E"/>
    <w:rsid w:val="007B2DCA"/>
    <w:rsid w:val="007B5342"/>
    <w:rsid w:val="007B743E"/>
    <w:rsid w:val="007D6678"/>
    <w:rsid w:val="007E39BC"/>
    <w:rsid w:val="007E53BC"/>
    <w:rsid w:val="007F45D3"/>
    <w:rsid w:val="008033C7"/>
    <w:rsid w:val="00823CBD"/>
    <w:rsid w:val="008C1B59"/>
    <w:rsid w:val="008C6FF6"/>
    <w:rsid w:val="008D07D2"/>
    <w:rsid w:val="008E1B37"/>
    <w:rsid w:val="008E45DE"/>
    <w:rsid w:val="009235AB"/>
    <w:rsid w:val="00954545"/>
    <w:rsid w:val="00974687"/>
    <w:rsid w:val="0099365E"/>
    <w:rsid w:val="009A6D2D"/>
    <w:rsid w:val="009C229D"/>
    <w:rsid w:val="009F4973"/>
    <w:rsid w:val="009F7C29"/>
    <w:rsid w:val="00A22FD1"/>
    <w:rsid w:val="00A84F02"/>
    <w:rsid w:val="00AB07BB"/>
    <w:rsid w:val="00AB085A"/>
    <w:rsid w:val="00AB0DA9"/>
    <w:rsid w:val="00AB564F"/>
    <w:rsid w:val="00AC3036"/>
    <w:rsid w:val="00B1332E"/>
    <w:rsid w:val="00B13435"/>
    <w:rsid w:val="00B20137"/>
    <w:rsid w:val="00B25C5B"/>
    <w:rsid w:val="00B26B1C"/>
    <w:rsid w:val="00B40417"/>
    <w:rsid w:val="00B54A1E"/>
    <w:rsid w:val="00B82829"/>
    <w:rsid w:val="00BA2A84"/>
    <w:rsid w:val="00BB20DC"/>
    <w:rsid w:val="00BE261E"/>
    <w:rsid w:val="00BE79E3"/>
    <w:rsid w:val="00C41111"/>
    <w:rsid w:val="00C75614"/>
    <w:rsid w:val="00C81F81"/>
    <w:rsid w:val="00CD6538"/>
    <w:rsid w:val="00CE0387"/>
    <w:rsid w:val="00CE7D1D"/>
    <w:rsid w:val="00CF1688"/>
    <w:rsid w:val="00D02422"/>
    <w:rsid w:val="00D23C67"/>
    <w:rsid w:val="00D41AB5"/>
    <w:rsid w:val="00D632A0"/>
    <w:rsid w:val="00D816D1"/>
    <w:rsid w:val="00D95742"/>
    <w:rsid w:val="00DD643F"/>
    <w:rsid w:val="00DD705E"/>
    <w:rsid w:val="00E209A5"/>
    <w:rsid w:val="00E2683B"/>
    <w:rsid w:val="00E274EB"/>
    <w:rsid w:val="00E448E6"/>
    <w:rsid w:val="00E55A64"/>
    <w:rsid w:val="00E579D4"/>
    <w:rsid w:val="00EE7FB7"/>
    <w:rsid w:val="00F10B5E"/>
    <w:rsid w:val="00F15FF2"/>
    <w:rsid w:val="00F21892"/>
    <w:rsid w:val="00F7105D"/>
    <w:rsid w:val="00FA1093"/>
    <w:rsid w:val="00FA2EEC"/>
    <w:rsid w:val="00FB07FA"/>
    <w:rsid w:val="00FB5F8D"/>
    <w:rsid w:val="00FD06BC"/>
    <w:rsid w:val="00FE2B4C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 style="mso-position-horizontal-relative:page;mso-position-vertical-relative:page" fillcolor="white" stroke="f">
      <v:fill color="white"/>
      <v:stroke on="f"/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tabs>
        <w:tab w:val="clear" w:pos="360"/>
        <w:tab w:val="num" w:pos="216"/>
      </w:tabs>
      <w:spacing w:before="240"/>
      <w:ind w:left="216" w:firstLine="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613EA"/>
    <w:pPr>
      <w:spacing w:after="0" w:line="240" w:lineRule="auto"/>
    </w:pPr>
    <w:rPr>
      <w:rFonts w:ascii="Cambria" w:hAnsi="Cambria"/>
      <w:color w:val="auto"/>
      <w:kern w:val="0"/>
      <w:sz w:val="22"/>
      <w:szCs w:val="22"/>
      <w:lang w:bidi="en-US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613EA"/>
    <w:rPr>
      <w:rFonts w:ascii="Cambria" w:eastAsia="Times New Roman" w:hAnsi="Cambria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A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FD1"/>
    <w:rPr>
      <w:rFonts w:ascii="Tahoma" w:hAnsi="Tahoma" w:cs="Tahoma"/>
      <w:color w:val="000000"/>
      <w:kern w:val="28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FD1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kern w:val="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FD1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EE7FB7"/>
    <w:pPr>
      <w:ind w:left="720"/>
    </w:pPr>
  </w:style>
  <w:style w:type="table" w:styleId="MediumShading1-Accent4">
    <w:name w:val="Medium Shading 1 Accent 4"/>
    <w:basedOn w:val="TableNormal"/>
    <w:uiPriority w:val="63"/>
    <w:rsid w:val="00521175"/>
    <w:pPr>
      <w:ind w:left="245"/>
    </w:pPr>
    <w:rPr>
      <w:rFonts w:ascii="Arial" w:eastAsia="Calibri" w:hAnsi="Arial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521175"/>
    <w:pPr>
      <w:spacing w:after="180" w:line="271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CU\Application%20Data\Microsoft\Templates\Newsletter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18BB-BB71-4E11-B6EF-2F8126A0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Settings\VCU\Application Data\Microsoft\Templates\Newsletter(4).dot</Template>
  <TotalTime>0</TotalTime>
  <Pages>1</Pages>
  <Words>3</Words>
  <Characters>19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</dc:creator>
  <cp:lastModifiedBy>Rebecka Anderson</cp:lastModifiedBy>
  <cp:revision>2</cp:revision>
  <cp:lastPrinted>2010-02-11T17:35:00Z</cp:lastPrinted>
  <dcterms:created xsi:type="dcterms:W3CDTF">2011-03-22T23:39:00Z</dcterms:created>
  <dcterms:modified xsi:type="dcterms:W3CDTF">2011-03-22T23:39:00Z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